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仿宋"/>
          <w:b/>
          <w:bCs/>
          <w:sz w:val="32"/>
          <w:szCs w:val="32"/>
        </w:rPr>
      </w:pPr>
      <w:r>
        <w:rPr>
          <w:rFonts w:hint="eastAsia" w:ascii="宋体" w:hAnsi="宋体" w:eastAsia="宋体" w:cs="仿宋"/>
          <w:b/>
          <w:bCs/>
          <w:sz w:val="32"/>
          <w:szCs w:val="32"/>
        </w:rPr>
        <w:t>附件</w:t>
      </w:r>
      <w:r>
        <w:rPr>
          <w:rFonts w:ascii="宋体" w:hAnsi="宋体" w:eastAsia="宋体" w:cs="仿宋"/>
          <w:b/>
          <w:bCs/>
          <w:sz w:val="32"/>
          <w:szCs w:val="32"/>
        </w:rPr>
        <w:t>1</w:t>
      </w:r>
    </w:p>
    <w:p>
      <w:pPr>
        <w:spacing w:line="360" w:lineRule="auto"/>
        <w:jc w:val="left"/>
        <w:rPr>
          <w:rFonts w:ascii="宋体" w:hAnsi="宋体" w:eastAsia="宋体" w:cs="仿宋"/>
          <w:b/>
          <w:bCs/>
          <w:sz w:val="28"/>
          <w:szCs w:val="28"/>
        </w:rPr>
      </w:pPr>
      <w:r>
        <w:rPr>
          <w:rFonts w:hint="eastAsia" w:ascii="宋体" w:hAnsi="宋体" w:eastAsia="宋体" w:cs="黑体"/>
          <w:b/>
          <w:bCs/>
          <w:sz w:val="28"/>
          <w:szCs w:val="28"/>
        </w:rPr>
        <w:t>2019年高压等极端条件科学与技术全国博士后学术论坛报名回执表</w:t>
      </w:r>
    </w:p>
    <w:p>
      <w:pPr>
        <w:spacing w:line="360" w:lineRule="auto"/>
        <w:jc w:val="left"/>
        <w:rPr>
          <w:rFonts w:ascii="宋体" w:hAnsi="宋体" w:eastAsia="宋体"/>
          <w:kern w:val="0"/>
          <w:sz w:val="24"/>
          <w:szCs w:val="24"/>
        </w:rPr>
      </w:pPr>
    </w:p>
    <w:tbl>
      <w:tblPr>
        <w:tblStyle w:val="3"/>
        <w:tblW w:w="94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92"/>
        <w:gridCol w:w="1134"/>
        <w:gridCol w:w="567"/>
        <w:gridCol w:w="1417"/>
        <w:gridCol w:w="993"/>
        <w:gridCol w:w="1417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    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</w:t>
            </w:r>
            <w:r>
              <w:rPr>
                <w:rFonts w:ascii="Calibri" w:hAnsi="Calibri" w:eastAsia="仿宋_GB2312" w:cs="Calibri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务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工作单位</w:t>
            </w:r>
          </w:p>
        </w:tc>
        <w:tc>
          <w:tcPr>
            <w:tcW w:w="78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通讯地址</w:t>
            </w:r>
          </w:p>
        </w:tc>
        <w:tc>
          <w:tcPr>
            <w:tcW w:w="78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手机号码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电子邮箱</w:t>
            </w:r>
          </w:p>
        </w:tc>
        <w:tc>
          <w:tcPr>
            <w:tcW w:w="3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所在流动站及设站单位名称 </w:t>
            </w:r>
          </w:p>
        </w:tc>
        <w:tc>
          <w:tcPr>
            <w:tcW w:w="5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进站时间</w:t>
            </w:r>
          </w:p>
        </w:tc>
        <w:tc>
          <w:tcPr>
            <w:tcW w:w="5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口头报告还是墙报</w:t>
            </w:r>
          </w:p>
        </w:tc>
        <w:tc>
          <w:tcPr>
            <w:tcW w:w="68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是否住宿</w:t>
            </w:r>
          </w:p>
        </w:tc>
        <w:tc>
          <w:tcPr>
            <w:tcW w:w="68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其他事项</w:t>
            </w:r>
          </w:p>
        </w:tc>
        <w:tc>
          <w:tcPr>
            <w:tcW w:w="68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rPr>
          <w:rFonts w:ascii="仿宋_GB2312" w:hAnsi="仿宋" w:eastAsia="仿宋_GB2312" w:cs="仿宋"/>
          <w:b/>
          <w:bCs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注：</w:t>
      </w:r>
      <w:r>
        <w:rPr>
          <w:rFonts w:hint="eastAsia" w:ascii="仿宋_GB2312" w:hAnsi="仿宋" w:eastAsia="仿宋_GB2312" w:cs="仿宋"/>
          <w:b/>
          <w:bCs/>
          <w:kern w:val="0"/>
          <w:sz w:val="24"/>
          <w:szCs w:val="24"/>
        </w:rPr>
        <w:t>请在10月20日之前将回执发送至：</w:t>
      </w:r>
      <w:r>
        <w:rPr>
          <w:rFonts w:ascii="仿宋_GB2312" w:hAnsi="仿宋" w:eastAsia="仿宋_GB2312" w:cs="仿宋"/>
          <w:b/>
          <w:bCs/>
          <w:kern w:val="0"/>
          <w:sz w:val="24"/>
          <w:szCs w:val="24"/>
        </w:rPr>
        <w:t>postdoc2019@126.com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right="280"/>
        <w:jc w:val="both"/>
        <w:rPr>
          <w:rFonts w:cs="Times New Roman"/>
          <w:b/>
          <w:bCs/>
          <w:color w:val="1F1F1F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right="280"/>
        <w:jc w:val="both"/>
        <w:rPr>
          <w:rFonts w:cs="Times New Roman"/>
          <w:b/>
          <w:bCs/>
          <w:color w:val="1F1F1F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right="280"/>
        <w:jc w:val="both"/>
        <w:rPr>
          <w:rFonts w:cs="Times New Roman"/>
          <w:b/>
          <w:bCs/>
          <w:color w:val="1F1F1F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right="280"/>
        <w:jc w:val="both"/>
        <w:rPr>
          <w:rFonts w:cs="Times New Roman"/>
          <w:b/>
          <w:bCs/>
          <w:color w:val="1F1F1F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right="280"/>
        <w:jc w:val="both"/>
        <w:rPr>
          <w:rFonts w:cs="Times New Roman"/>
          <w:b/>
          <w:bCs/>
          <w:color w:val="1F1F1F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right="280"/>
        <w:jc w:val="both"/>
        <w:rPr>
          <w:rFonts w:cs="Times New Roman"/>
          <w:b/>
          <w:bCs/>
          <w:color w:val="1F1F1F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right="280"/>
        <w:jc w:val="both"/>
        <w:rPr>
          <w:rFonts w:cs="Times New Roman"/>
          <w:b/>
          <w:bCs/>
          <w:color w:val="1F1F1F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right="280"/>
        <w:jc w:val="both"/>
        <w:rPr>
          <w:rFonts w:cs="Times New Roman"/>
          <w:b/>
          <w:bCs/>
          <w:color w:val="1F1F1F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right="280"/>
        <w:jc w:val="both"/>
        <w:rPr>
          <w:rFonts w:cs="Times New Roman"/>
          <w:b/>
          <w:bCs/>
          <w:color w:val="1F1F1F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right="280"/>
        <w:jc w:val="both"/>
        <w:rPr>
          <w:rFonts w:cs="Times New Roman"/>
          <w:b/>
          <w:bCs/>
          <w:color w:val="1F1F1F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6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2019-10-10T02:41:30Z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